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C9F70" w14:textId="32F185FF" w:rsidR="009C3B55" w:rsidRDefault="009C3B55" w:rsidP="00973794">
      <w:pPr>
        <w:jc w:val="center"/>
      </w:pPr>
    </w:p>
    <w:p w14:paraId="76AE581B" w14:textId="19770729" w:rsidR="00973794" w:rsidRDefault="00973794" w:rsidP="00973794">
      <w:pPr>
        <w:jc w:val="center"/>
      </w:pPr>
    </w:p>
    <w:p w14:paraId="065A7369" w14:textId="570A2982" w:rsidR="00973794" w:rsidRDefault="00973794" w:rsidP="00973794">
      <w:pPr>
        <w:jc w:val="center"/>
      </w:pPr>
    </w:p>
    <w:p w14:paraId="3BE73A11" w14:textId="30AB6FD9" w:rsidR="00973794" w:rsidRDefault="00973794" w:rsidP="00973794">
      <w:pPr>
        <w:jc w:val="center"/>
      </w:pPr>
    </w:p>
    <w:p w14:paraId="3BEEB139" w14:textId="2C8FD186" w:rsidR="00973794" w:rsidRDefault="00EF06C8" w:rsidP="00973794">
      <w:pPr>
        <w:jc w:val="center"/>
        <w:rPr>
          <w:b/>
          <w:bCs/>
        </w:rPr>
      </w:pPr>
      <w:r>
        <w:rPr>
          <w:b/>
          <w:bCs/>
        </w:rPr>
        <w:t>ROE and EPS</w:t>
      </w:r>
    </w:p>
    <w:p w14:paraId="2465C950" w14:textId="6FE8CE69" w:rsidR="00973794" w:rsidRDefault="00973794" w:rsidP="00973794">
      <w:pPr>
        <w:jc w:val="center"/>
        <w:rPr>
          <w:b/>
          <w:bCs/>
        </w:rPr>
      </w:pPr>
    </w:p>
    <w:p w14:paraId="202D7003" w14:textId="1DD13120" w:rsidR="00973794" w:rsidRDefault="00EF06C8" w:rsidP="00973794">
      <w:pPr>
        <w:jc w:val="center"/>
      </w:pPr>
      <w:r>
        <w:t>Name</w:t>
      </w:r>
    </w:p>
    <w:p w14:paraId="0C44DC57" w14:textId="73A3C840" w:rsidR="00973794" w:rsidRDefault="00EF06C8" w:rsidP="00973794">
      <w:pPr>
        <w:jc w:val="center"/>
      </w:pPr>
      <w:r>
        <w:t>Affiliation</w:t>
      </w:r>
    </w:p>
    <w:p w14:paraId="7B9DB23F" w14:textId="35FD44A6" w:rsidR="00973794" w:rsidRDefault="00EF06C8" w:rsidP="00973794">
      <w:pPr>
        <w:jc w:val="center"/>
      </w:pPr>
      <w:r>
        <w:t>Date</w:t>
      </w:r>
    </w:p>
    <w:p w14:paraId="503F5F62" w14:textId="2A3B0C98" w:rsidR="00973794" w:rsidRDefault="00973794" w:rsidP="00973794">
      <w:pPr>
        <w:jc w:val="center"/>
      </w:pPr>
    </w:p>
    <w:p w14:paraId="365EDC77" w14:textId="09C9BB2D" w:rsidR="00973794" w:rsidRDefault="00973794" w:rsidP="00973794">
      <w:pPr>
        <w:jc w:val="center"/>
      </w:pPr>
    </w:p>
    <w:p w14:paraId="1B1E6360" w14:textId="77D70BED" w:rsidR="00973794" w:rsidRDefault="00973794" w:rsidP="00973794">
      <w:pPr>
        <w:jc w:val="center"/>
      </w:pPr>
    </w:p>
    <w:p w14:paraId="0FF169D4" w14:textId="3B759EB1" w:rsidR="00973794" w:rsidRDefault="00973794" w:rsidP="00973794">
      <w:pPr>
        <w:jc w:val="center"/>
      </w:pPr>
    </w:p>
    <w:p w14:paraId="2A55BA61" w14:textId="35DBD90E" w:rsidR="00973794" w:rsidRDefault="00973794" w:rsidP="00973794">
      <w:pPr>
        <w:jc w:val="center"/>
      </w:pPr>
    </w:p>
    <w:p w14:paraId="4E22C24E" w14:textId="26850A79" w:rsidR="00973794" w:rsidRDefault="00973794" w:rsidP="00973794">
      <w:pPr>
        <w:jc w:val="center"/>
      </w:pPr>
    </w:p>
    <w:p w14:paraId="58EF7928" w14:textId="7607CC05" w:rsidR="00973794" w:rsidRDefault="00973794" w:rsidP="00973794">
      <w:pPr>
        <w:jc w:val="center"/>
      </w:pPr>
    </w:p>
    <w:p w14:paraId="242AC983" w14:textId="18817D6F" w:rsidR="00973794" w:rsidRDefault="00973794" w:rsidP="00973794">
      <w:pPr>
        <w:jc w:val="center"/>
      </w:pPr>
    </w:p>
    <w:p w14:paraId="105A2EA9" w14:textId="6EBCCCAD" w:rsidR="00973794" w:rsidRDefault="00973794" w:rsidP="00973794">
      <w:pPr>
        <w:jc w:val="center"/>
      </w:pPr>
    </w:p>
    <w:p w14:paraId="48DFC1F8" w14:textId="77777777" w:rsidR="00973794" w:rsidRDefault="00EF06C8" w:rsidP="00973794">
      <w:pPr>
        <w:jc w:val="center"/>
        <w:rPr>
          <w:b/>
          <w:bCs/>
        </w:rPr>
      </w:pPr>
      <w:r>
        <w:rPr>
          <w:b/>
          <w:bCs/>
        </w:rPr>
        <w:t>ROE and EPS</w:t>
      </w:r>
    </w:p>
    <w:p w14:paraId="5C050D65" w14:textId="3D10F19C" w:rsidR="00973794" w:rsidRDefault="00EF06C8" w:rsidP="00973794">
      <w:pPr>
        <w:ind w:left="0"/>
        <w:rPr>
          <w:rFonts w:cs="Times New Roman"/>
          <w:szCs w:val="24"/>
        </w:rPr>
      </w:pPr>
      <w:r>
        <w:lastRenderedPageBreak/>
        <w:tab/>
        <w:t xml:space="preserve">Return on equity states the amount of profit earned by the firm. It also displays the amount of profit earned by the firm attributable to the shareholder's </w:t>
      </w:r>
      <w:r w:rsidR="00517158">
        <w:t>investment. ROE</w:t>
      </w:r>
      <w:r>
        <w:t xml:space="preserve"> shows the proportion achieved by utilizing </w:t>
      </w:r>
      <w:r w:rsidR="00517158">
        <w:t>shareholder's</w:t>
      </w:r>
      <w:r>
        <w:t xml:space="preserve"> funds.</w:t>
      </w:r>
      <w:r w:rsidR="003F6154">
        <w:t xml:space="preserve"> It is a significant </w:t>
      </w:r>
      <w:r w:rsidR="00517158">
        <w:t>measure</w:t>
      </w:r>
      <w:r w:rsidR="003F6154">
        <w:t xml:space="preserve"> for evaluating the firm's performance, and the higher, the </w:t>
      </w:r>
      <w:r w:rsidR="00517158">
        <w:t>better. Return</w:t>
      </w:r>
      <w:r w:rsidR="003F6154">
        <w:t xml:space="preserve"> on equity is arrived at by dividing the net profit by the average shareholder equity. In a market, a firm with a high return on equity has a higher probability of generating cash internally. In a situation where a firm has a low </w:t>
      </w:r>
      <w:r w:rsidR="00517158">
        <w:t>ROE, it</w:t>
      </w:r>
      <w:r w:rsidR="00157499">
        <w:t xml:space="preserve"> implies that it has not utilized shareholder's capital </w:t>
      </w:r>
      <w:r w:rsidR="00517158">
        <w:t>efficiently. Such</w:t>
      </w:r>
      <w:r w:rsidR="00157499">
        <w:t xml:space="preserve"> action reflects that the firm is not in a position to provide substantial returns to the </w:t>
      </w:r>
      <w:r w:rsidR="00517158">
        <w:t>investors. Financial</w:t>
      </w:r>
      <w:r w:rsidR="00157499">
        <w:t xml:space="preserve"> analysts consider ROE of less than 14 percent as not </w:t>
      </w:r>
      <w:r w:rsidR="00517158" w:rsidRPr="0065548D">
        <w:rPr>
          <w:rFonts w:cs="Times New Roman"/>
          <w:szCs w:val="24"/>
        </w:rPr>
        <w:t>satisfactory</w:t>
      </w:r>
      <w:r w:rsidR="0065548D" w:rsidRPr="0065548D">
        <w:rPr>
          <w:rFonts w:cs="Times New Roman"/>
          <w:szCs w:val="24"/>
        </w:rPr>
        <w:t xml:space="preserve"> </w:t>
      </w:r>
      <w:r w:rsidR="0065548D" w:rsidRPr="0065548D">
        <w:rPr>
          <w:rFonts w:cs="Times New Roman"/>
          <w:szCs w:val="24"/>
          <w:shd w:val="clear" w:color="auto" w:fill="FFFFFF"/>
        </w:rPr>
        <w:t>(</w:t>
      </w:r>
      <w:proofErr w:type="spellStart"/>
      <w:r w:rsidR="0065548D" w:rsidRPr="0065548D">
        <w:rPr>
          <w:rFonts w:cs="Times New Roman"/>
          <w:szCs w:val="24"/>
          <w:shd w:val="clear" w:color="auto" w:fill="FFFFFF"/>
        </w:rPr>
        <w:t>Jin</w:t>
      </w:r>
      <w:proofErr w:type="spellEnd"/>
      <w:r w:rsidR="0065548D" w:rsidRPr="0065548D">
        <w:rPr>
          <w:rFonts w:cs="Times New Roman"/>
          <w:szCs w:val="24"/>
          <w:shd w:val="clear" w:color="auto" w:fill="FFFFFF"/>
        </w:rPr>
        <w:t>, 2017)</w:t>
      </w:r>
      <w:r w:rsidR="00517158" w:rsidRPr="0065548D">
        <w:rPr>
          <w:rFonts w:cs="Times New Roman"/>
          <w:szCs w:val="24"/>
        </w:rPr>
        <w:t>. However,</w:t>
      </w:r>
      <w:r w:rsidR="00683798" w:rsidRPr="0065548D">
        <w:rPr>
          <w:rFonts w:cs="Times New Roman"/>
          <w:szCs w:val="24"/>
        </w:rPr>
        <w:t xml:space="preserve"> companies with a return</w:t>
      </w:r>
      <w:r w:rsidR="00683798" w:rsidRPr="0065548D">
        <w:t xml:space="preserve"> </w:t>
      </w:r>
      <w:r w:rsidR="00683798">
        <w:t xml:space="preserve">on equity of more than 20 percent are regarded </w:t>
      </w:r>
      <w:r w:rsidR="00517158">
        <w:t xml:space="preserve">as a </w:t>
      </w:r>
      <w:r w:rsidR="0065548D">
        <w:t>favorable investment</w:t>
      </w:r>
      <w:r w:rsidR="00517158">
        <w:t>. Return</w:t>
      </w:r>
      <w:r w:rsidR="00683798">
        <w:t xml:space="preserve"> on equity also impacts stock </w:t>
      </w:r>
      <w:r w:rsidR="00517158">
        <w:t>valuations; thus</w:t>
      </w:r>
      <w:r w:rsidR="00683798">
        <w:t xml:space="preserve">, higher ROE implies the companies have higher </w:t>
      </w:r>
      <w:r w:rsidR="00517158">
        <w:t>valuations. Evaluators</w:t>
      </w:r>
      <w:r w:rsidR="009B1109">
        <w:t xml:space="preserve"> use ROE to highlight corporate </w:t>
      </w:r>
      <w:r w:rsidR="00517158">
        <w:t>growth. Earnings</w:t>
      </w:r>
      <w:r w:rsidR="009B1109">
        <w:t xml:space="preserve"> per share EPS is typically considered the widely utilized performance </w:t>
      </w:r>
      <w:r w:rsidR="00517158">
        <w:t>benchmark. Besides, the majority</w:t>
      </w:r>
      <w:r w:rsidR="009B1109">
        <w:t xml:space="preserve"> of investors are </w:t>
      </w:r>
      <w:r w:rsidR="00517158">
        <w:t>acquainted with</w:t>
      </w:r>
      <w:r w:rsidR="009B1109">
        <w:t xml:space="preserve"> the valuation mult</w:t>
      </w:r>
      <w:r w:rsidR="00517158">
        <w:t xml:space="preserve">iple ratios. In such P/E, percentage earning per share is the denominator. Lastly, in the modern-day share evaluation procedure, EPS growth is of most </w:t>
      </w:r>
      <w:r w:rsidR="00517158" w:rsidRPr="0065548D">
        <w:rPr>
          <w:rFonts w:cs="Times New Roman"/>
          <w:szCs w:val="24"/>
        </w:rPr>
        <w:t>importance</w:t>
      </w:r>
      <w:r w:rsidR="0065548D" w:rsidRPr="0065548D">
        <w:rPr>
          <w:rFonts w:cs="Times New Roman"/>
          <w:szCs w:val="24"/>
        </w:rPr>
        <w:t xml:space="preserve"> </w:t>
      </w:r>
      <w:r w:rsidR="0065548D" w:rsidRPr="0065548D">
        <w:rPr>
          <w:rFonts w:cs="Times New Roman"/>
          <w:szCs w:val="24"/>
          <w:shd w:val="clear" w:color="auto" w:fill="FFFFFF"/>
        </w:rPr>
        <w:t>(</w:t>
      </w:r>
      <w:proofErr w:type="spellStart"/>
      <w:r w:rsidR="0065548D" w:rsidRPr="0065548D">
        <w:rPr>
          <w:rFonts w:cs="Times New Roman"/>
          <w:szCs w:val="24"/>
          <w:shd w:val="clear" w:color="auto" w:fill="FFFFFF"/>
        </w:rPr>
        <w:t>Nafisah</w:t>
      </w:r>
      <w:proofErr w:type="spellEnd"/>
      <w:r w:rsidR="0065548D" w:rsidRPr="0065548D">
        <w:rPr>
          <w:rFonts w:cs="Times New Roman"/>
          <w:szCs w:val="24"/>
          <w:shd w:val="clear" w:color="auto" w:fill="FFFFFF"/>
        </w:rPr>
        <w:t xml:space="preserve"> et al., 2020)</w:t>
      </w:r>
      <w:r w:rsidR="00517158" w:rsidRPr="0065548D">
        <w:rPr>
          <w:rFonts w:cs="Times New Roman"/>
          <w:szCs w:val="24"/>
        </w:rPr>
        <w:t>.</w:t>
      </w:r>
    </w:p>
    <w:p w14:paraId="4E11C32A" w14:textId="1A7905C4" w:rsidR="0065548D" w:rsidRDefault="0065548D" w:rsidP="00973794">
      <w:pPr>
        <w:ind w:left="0"/>
        <w:rPr>
          <w:rFonts w:cs="Times New Roman"/>
          <w:szCs w:val="24"/>
        </w:rPr>
      </w:pPr>
    </w:p>
    <w:p w14:paraId="2FDEEC12" w14:textId="16134D67" w:rsidR="0065548D" w:rsidRDefault="0065548D" w:rsidP="00973794">
      <w:pPr>
        <w:ind w:left="0"/>
        <w:rPr>
          <w:rFonts w:cs="Times New Roman"/>
          <w:szCs w:val="24"/>
        </w:rPr>
      </w:pPr>
    </w:p>
    <w:p w14:paraId="7D8D1A3E" w14:textId="2934B4B6" w:rsidR="0065548D" w:rsidRDefault="0065548D" w:rsidP="00973794">
      <w:pPr>
        <w:ind w:left="0"/>
        <w:rPr>
          <w:rFonts w:cs="Times New Roman"/>
          <w:szCs w:val="24"/>
        </w:rPr>
      </w:pPr>
    </w:p>
    <w:p w14:paraId="66056B14" w14:textId="78E9CA9C" w:rsidR="0065548D" w:rsidRDefault="0065548D" w:rsidP="00973794">
      <w:pPr>
        <w:ind w:left="0"/>
        <w:rPr>
          <w:rFonts w:cs="Times New Roman"/>
          <w:szCs w:val="24"/>
        </w:rPr>
      </w:pPr>
    </w:p>
    <w:p w14:paraId="4C40182B" w14:textId="51EC1046" w:rsidR="0065548D" w:rsidRDefault="0065548D" w:rsidP="00973794">
      <w:pPr>
        <w:ind w:left="0"/>
        <w:rPr>
          <w:rFonts w:cs="Times New Roman"/>
          <w:szCs w:val="24"/>
        </w:rPr>
      </w:pPr>
    </w:p>
    <w:p w14:paraId="102AEC71" w14:textId="77777777" w:rsidR="0065548D" w:rsidRPr="0065548D" w:rsidRDefault="0065548D" w:rsidP="0065548D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65548D">
        <w:rPr>
          <w:rFonts w:eastAsia="Times New Roman" w:cs="Times New Roman"/>
          <w:color w:val="000000"/>
          <w:szCs w:val="24"/>
        </w:rPr>
        <w:t>References</w:t>
      </w:r>
    </w:p>
    <w:p w14:paraId="59BD7395" w14:textId="77777777" w:rsidR="0065548D" w:rsidRPr="0065548D" w:rsidRDefault="0065548D" w:rsidP="0065548D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65548D">
        <w:rPr>
          <w:rFonts w:eastAsia="Times New Roman" w:cs="Times New Roman"/>
          <w:color w:val="000000"/>
          <w:szCs w:val="24"/>
        </w:rPr>
        <w:lastRenderedPageBreak/>
        <w:t>Jin</w:t>
      </w:r>
      <w:proofErr w:type="spellEnd"/>
      <w:r w:rsidRPr="0065548D">
        <w:rPr>
          <w:rFonts w:eastAsia="Times New Roman" w:cs="Times New Roman"/>
          <w:color w:val="000000"/>
          <w:szCs w:val="24"/>
        </w:rPr>
        <w:t>, Y. (2017). DuPont analysis, earnings persistence, and return on equity: Evidence from mandatory IFRS adoption in Canada. </w:t>
      </w:r>
      <w:r w:rsidRPr="0065548D">
        <w:rPr>
          <w:rFonts w:eastAsia="Times New Roman" w:cs="Times New Roman"/>
          <w:i/>
          <w:iCs/>
          <w:color w:val="000000"/>
          <w:szCs w:val="24"/>
        </w:rPr>
        <w:t>Accounting Perspectives</w:t>
      </w:r>
      <w:r w:rsidRPr="0065548D">
        <w:rPr>
          <w:rFonts w:eastAsia="Times New Roman" w:cs="Times New Roman"/>
          <w:color w:val="000000"/>
          <w:szCs w:val="24"/>
        </w:rPr>
        <w:t>, </w:t>
      </w:r>
      <w:r w:rsidRPr="0065548D">
        <w:rPr>
          <w:rFonts w:eastAsia="Times New Roman" w:cs="Times New Roman"/>
          <w:i/>
          <w:iCs/>
          <w:color w:val="000000"/>
          <w:szCs w:val="24"/>
        </w:rPr>
        <w:t>16</w:t>
      </w:r>
      <w:r w:rsidRPr="0065548D">
        <w:rPr>
          <w:rFonts w:eastAsia="Times New Roman" w:cs="Times New Roman"/>
          <w:color w:val="000000"/>
          <w:szCs w:val="24"/>
        </w:rPr>
        <w:t>(3), 205-235. </w:t>
      </w:r>
      <w:hyperlink r:id="rId6" w:history="1">
        <w:r w:rsidRPr="0065548D">
          <w:rPr>
            <w:rFonts w:eastAsia="Times New Roman" w:cs="Times New Roman"/>
            <w:color w:val="000000"/>
            <w:szCs w:val="24"/>
            <w:u w:val="single"/>
          </w:rPr>
          <w:t>https://doi.org/10.1111/1911-3838.12142</w:t>
        </w:r>
      </w:hyperlink>
    </w:p>
    <w:p w14:paraId="5407EE60" w14:textId="77777777" w:rsidR="0065548D" w:rsidRPr="0065548D" w:rsidRDefault="0065548D" w:rsidP="0065548D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65548D">
        <w:rPr>
          <w:rFonts w:eastAsia="Times New Roman" w:cs="Times New Roman"/>
          <w:color w:val="000000"/>
          <w:szCs w:val="24"/>
        </w:rPr>
        <w:t>Nafisah</w:t>
      </w:r>
      <w:proofErr w:type="spellEnd"/>
      <w:r w:rsidRPr="0065548D">
        <w:rPr>
          <w:rFonts w:eastAsia="Times New Roman" w:cs="Times New Roman"/>
          <w:color w:val="000000"/>
          <w:szCs w:val="24"/>
        </w:rPr>
        <w:t xml:space="preserve">, N. I., Halim, A., &amp; Sari, A. R. (2020). </w:t>
      </w:r>
      <w:proofErr w:type="spellStart"/>
      <w:r w:rsidRPr="0065548D">
        <w:rPr>
          <w:rFonts w:eastAsia="Times New Roman" w:cs="Times New Roman"/>
          <w:color w:val="000000"/>
          <w:szCs w:val="24"/>
        </w:rPr>
        <w:t>Pengaruh</w:t>
      </w:r>
      <w:proofErr w:type="spellEnd"/>
      <w:r w:rsidRPr="0065548D">
        <w:rPr>
          <w:rFonts w:eastAsia="Times New Roman" w:cs="Times New Roman"/>
          <w:color w:val="000000"/>
          <w:szCs w:val="24"/>
        </w:rPr>
        <w:t xml:space="preserve"> return on assets (</w:t>
      </w:r>
      <w:proofErr w:type="spellStart"/>
      <w:r w:rsidRPr="0065548D">
        <w:rPr>
          <w:rFonts w:eastAsia="Times New Roman" w:cs="Times New Roman"/>
          <w:color w:val="000000"/>
          <w:szCs w:val="24"/>
        </w:rPr>
        <w:t>Roa</w:t>
      </w:r>
      <w:proofErr w:type="spellEnd"/>
      <w:r w:rsidRPr="0065548D">
        <w:rPr>
          <w:rFonts w:eastAsia="Times New Roman" w:cs="Times New Roman"/>
          <w:color w:val="000000"/>
          <w:szCs w:val="24"/>
        </w:rPr>
        <w:t xml:space="preserve">), debt to equity ratio(Der), current ratio (CR), return on equity (Roe), price earning ratio (Per), total assets turnover (Tato), Dan earning per share (Eps) </w:t>
      </w:r>
      <w:proofErr w:type="spellStart"/>
      <w:r w:rsidRPr="0065548D">
        <w:rPr>
          <w:rFonts w:eastAsia="Times New Roman" w:cs="Times New Roman"/>
          <w:color w:val="000000"/>
          <w:szCs w:val="24"/>
        </w:rPr>
        <w:t>terhadap</w:t>
      </w:r>
      <w:proofErr w:type="spellEnd"/>
      <w:r w:rsidRPr="0065548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5548D">
        <w:rPr>
          <w:rFonts w:eastAsia="Times New Roman" w:cs="Times New Roman"/>
          <w:color w:val="000000"/>
          <w:szCs w:val="24"/>
        </w:rPr>
        <w:t>nilai</w:t>
      </w:r>
      <w:proofErr w:type="spellEnd"/>
      <w:r w:rsidRPr="0065548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5548D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65548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5548D">
        <w:rPr>
          <w:rFonts w:eastAsia="Times New Roman" w:cs="Times New Roman"/>
          <w:color w:val="000000"/>
          <w:szCs w:val="24"/>
        </w:rPr>
        <w:t>manufaktur</w:t>
      </w:r>
      <w:proofErr w:type="spellEnd"/>
      <w:r w:rsidRPr="0065548D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65548D">
        <w:rPr>
          <w:rFonts w:eastAsia="Times New Roman" w:cs="Times New Roman"/>
          <w:color w:val="000000"/>
          <w:szCs w:val="24"/>
        </w:rPr>
        <w:t>terdaftar</w:t>
      </w:r>
      <w:proofErr w:type="spellEnd"/>
      <w:r w:rsidRPr="0065548D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65548D">
        <w:rPr>
          <w:rFonts w:eastAsia="Times New Roman" w:cs="Times New Roman"/>
          <w:color w:val="000000"/>
          <w:szCs w:val="24"/>
        </w:rPr>
        <w:t>bei</w:t>
      </w:r>
      <w:proofErr w:type="spellEnd"/>
      <w:r w:rsidRPr="0065548D">
        <w:rPr>
          <w:rFonts w:eastAsia="Times New Roman" w:cs="Times New Roman"/>
          <w:color w:val="000000"/>
          <w:szCs w:val="24"/>
        </w:rPr>
        <w:t>. </w:t>
      </w:r>
      <w:proofErr w:type="spellStart"/>
      <w:r w:rsidRPr="0065548D">
        <w:rPr>
          <w:rFonts w:eastAsia="Times New Roman" w:cs="Times New Roman"/>
          <w:i/>
          <w:iCs/>
          <w:color w:val="000000"/>
          <w:szCs w:val="24"/>
        </w:rPr>
        <w:t>Jurnal</w:t>
      </w:r>
      <w:proofErr w:type="spellEnd"/>
      <w:r w:rsidRPr="0065548D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spellStart"/>
      <w:r w:rsidRPr="0065548D">
        <w:rPr>
          <w:rFonts w:eastAsia="Times New Roman" w:cs="Times New Roman"/>
          <w:i/>
          <w:iCs/>
          <w:color w:val="000000"/>
          <w:szCs w:val="24"/>
        </w:rPr>
        <w:t>Riset</w:t>
      </w:r>
      <w:proofErr w:type="spellEnd"/>
      <w:r w:rsidRPr="0065548D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spellStart"/>
      <w:r w:rsidRPr="0065548D">
        <w:rPr>
          <w:rFonts w:eastAsia="Times New Roman" w:cs="Times New Roman"/>
          <w:i/>
          <w:iCs/>
          <w:color w:val="000000"/>
          <w:szCs w:val="24"/>
        </w:rPr>
        <w:t>Mahasiswa</w:t>
      </w:r>
      <w:proofErr w:type="spellEnd"/>
      <w:r w:rsidRPr="0065548D">
        <w:rPr>
          <w:rFonts w:eastAsia="Times New Roman" w:cs="Times New Roman"/>
          <w:i/>
          <w:iCs/>
          <w:color w:val="000000"/>
          <w:szCs w:val="24"/>
        </w:rPr>
        <w:t xml:space="preserve"> </w:t>
      </w:r>
      <w:proofErr w:type="spellStart"/>
      <w:r w:rsidRPr="0065548D">
        <w:rPr>
          <w:rFonts w:eastAsia="Times New Roman" w:cs="Times New Roman"/>
          <w:i/>
          <w:iCs/>
          <w:color w:val="000000"/>
          <w:szCs w:val="24"/>
        </w:rPr>
        <w:t>Akuntansi</w:t>
      </w:r>
      <w:proofErr w:type="spellEnd"/>
      <w:r w:rsidRPr="0065548D">
        <w:rPr>
          <w:rFonts w:eastAsia="Times New Roman" w:cs="Times New Roman"/>
          <w:color w:val="000000"/>
          <w:szCs w:val="24"/>
        </w:rPr>
        <w:t>, </w:t>
      </w:r>
      <w:r w:rsidRPr="0065548D">
        <w:rPr>
          <w:rFonts w:eastAsia="Times New Roman" w:cs="Times New Roman"/>
          <w:i/>
          <w:iCs/>
          <w:color w:val="000000"/>
          <w:szCs w:val="24"/>
        </w:rPr>
        <w:t>6</w:t>
      </w:r>
      <w:r w:rsidRPr="0065548D">
        <w:rPr>
          <w:rFonts w:eastAsia="Times New Roman" w:cs="Times New Roman"/>
          <w:color w:val="000000"/>
          <w:szCs w:val="24"/>
        </w:rPr>
        <w:t>(2). </w:t>
      </w:r>
      <w:hyperlink r:id="rId7" w:history="1">
        <w:r w:rsidRPr="0065548D">
          <w:rPr>
            <w:rFonts w:eastAsia="Times New Roman" w:cs="Times New Roman"/>
            <w:color w:val="000000"/>
            <w:szCs w:val="24"/>
            <w:u w:val="single"/>
          </w:rPr>
          <w:t>https://doi.org/10.21067/jrma.v6i2.4217</w:t>
        </w:r>
      </w:hyperlink>
    </w:p>
    <w:p w14:paraId="6839216C" w14:textId="77777777" w:rsidR="0065548D" w:rsidRDefault="0065548D" w:rsidP="00973794">
      <w:pPr>
        <w:ind w:left="0"/>
      </w:pPr>
    </w:p>
    <w:p w14:paraId="5EC86236" w14:textId="77777777" w:rsidR="00973794" w:rsidRDefault="00973794" w:rsidP="00973794">
      <w:pPr>
        <w:jc w:val="center"/>
      </w:pPr>
    </w:p>
    <w:p w14:paraId="2963AC3D" w14:textId="77777777" w:rsidR="00973794" w:rsidRPr="00973794" w:rsidRDefault="00973794" w:rsidP="00973794">
      <w:pPr>
        <w:jc w:val="center"/>
      </w:pPr>
    </w:p>
    <w:sectPr w:rsidR="00973794" w:rsidRPr="009737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343F0" w14:textId="77777777" w:rsidR="00EF06C8" w:rsidRDefault="00EF06C8">
      <w:pPr>
        <w:spacing w:after="0" w:line="240" w:lineRule="auto"/>
      </w:pPr>
      <w:r>
        <w:separator/>
      </w:r>
    </w:p>
  </w:endnote>
  <w:endnote w:type="continuationSeparator" w:id="0">
    <w:p w14:paraId="2314E087" w14:textId="77777777" w:rsidR="00EF06C8" w:rsidRDefault="00EF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0397D" w14:textId="77777777" w:rsidR="00EF06C8" w:rsidRDefault="00EF06C8">
      <w:pPr>
        <w:spacing w:after="0" w:line="240" w:lineRule="auto"/>
      </w:pPr>
      <w:r>
        <w:separator/>
      </w:r>
    </w:p>
  </w:footnote>
  <w:footnote w:type="continuationSeparator" w:id="0">
    <w:p w14:paraId="319A3D79" w14:textId="77777777" w:rsidR="00EF06C8" w:rsidRDefault="00EF0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92108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29A15" w14:textId="12AC2352" w:rsidR="00973794" w:rsidRDefault="00EF06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26A0A" w14:textId="77777777" w:rsidR="00973794" w:rsidRDefault="00973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94"/>
    <w:rsid w:val="000A7243"/>
    <w:rsid w:val="00157499"/>
    <w:rsid w:val="001C4CD1"/>
    <w:rsid w:val="001C63B8"/>
    <w:rsid w:val="00264955"/>
    <w:rsid w:val="002853EC"/>
    <w:rsid w:val="00323F97"/>
    <w:rsid w:val="003F6154"/>
    <w:rsid w:val="00410066"/>
    <w:rsid w:val="00517158"/>
    <w:rsid w:val="0065548D"/>
    <w:rsid w:val="00683798"/>
    <w:rsid w:val="007A3E1E"/>
    <w:rsid w:val="008E2C11"/>
    <w:rsid w:val="00973794"/>
    <w:rsid w:val="009B1109"/>
    <w:rsid w:val="009C3B55"/>
    <w:rsid w:val="00B00F3D"/>
    <w:rsid w:val="00BE0B2F"/>
    <w:rsid w:val="00CA212C"/>
    <w:rsid w:val="00E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3625"/>
  <w15:chartTrackingRefBased/>
  <w15:docId w15:val="{BCE3E322-F037-4873-AE4F-4A2D15DA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94"/>
  </w:style>
  <w:style w:type="paragraph" w:styleId="Footer">
    <w:name w:val="footer"/>
    <w:basedOn w:val="Normal"/>
    <w:link w:val="FooterChar"/>
    <w:uiPriority w:val="99"/>
    <w:unhideWhenUsed/>
    <w:rsid w:val="0097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94"/>
  </w:style>
  <w:style w:type="paragraph" w:styleId="NormalWeb">
    <w:name w:val="Normal (Web)"/>
    <w:basedOn w:val="Normal"/>
    <w:uiPriority w:val="99"/>
    <w:semiHidden/>
    <w:unhideWhenUsed/>
    <w:rsid w:val="0065548D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5548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55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21067/jrma.v6i2.4217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111/1911-3838.12142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2021-04-13T14:28:00Z</dcterms:created>
  <dcterms:modified xsi:type="dcterms:W3CDTF">2021-04-13T14:28:00Z</dcterms:modified>
</cp:coreProperties>
</file>